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b/>
              <w:bCs/>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hint="eastAsia" w:ascii="微软雅黑" w:hAnsi="微软雅黑" w:eastAsia="微软雅黑" w:cs="微软雅黑"/>
              <w:sz w:val="18"/>
              <w:szCs w:val="18"/>
              <w:lang w:val="en-US" w:eastAsia="zh-CN"/>
            </w:rPr>
            <w:t>4</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6</w:t>
          </w:r>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6</w:t>
          </w:r>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lang w:val="en-US" w:eastAsia="zh-CN"/>
            </w:rPr>
            <w:t>3. Segment settings</w:t>
          </w:r>
          <w:r>
            <w:rPr>
              <w:sz w:val="18"/>
              <w:szCs w:val="18"/>
            </w:rPr>
            <w:tab/>
          </w:r>
          <w:r>
            <w:rPr>
              <w:rFonts w:hint="eastAsia"/>
              <w:sz w:val="18"/>
              <w:szCs w:val="18"/>
              <w:lang w:val="en-US" w:eastAsia="zh-CN"/>
            </w:rPr>
            <w:t>7</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7</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8</w:t>
          </w:r>
          <w:r>
            <w:rPr>
              <w:b/>
              <w:bCs/>
            </w:rPr>
            <w:fldChar w:fldCharType="end"/>
          </w:r>
        </w:p>
        <w:p>
          <w:pPr>
            <w:pStyle w:val="10"/>
            <w:tabs>
              <w:tab w:val="right" w:leader="dot" w:pos="9638"/>
            </w:tabs>
            <w:ind w:left="420"/>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1</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Short circuit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2</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3</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4</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pPr>
        </w:p>
      </w:sdtContent>
    </w:sdt>
    <w:bookmarkEnd w:id="0"/>
    <w:p>
      <w:pPr>
        <w:jc w:val="center"/>
        <w:outlineLvl w:val="0"/>
        <w:rPr>
          <w:rFonts w:ascii="微软雅黑" w:hAnsi="微软雅黑" w:eastAsia="微软雅黑" w:cs="微软雅黑"/>
          <w:b/>
          <w:bCs/>
          <w:sz w:val="32"/>
          <w:szCs w:val="32"/>
        </w:rPr>
      </w:pPr>
      <w:bookmarkStart w:id="6" w:name="_Toc29222_WPSOffice_Level1"/>
      <w:bookmarkStart w:id="7" w:name="_Toc14787_WPSOffice_Level1"/>
    </w:p>
    <w:p>
      <w:pPr>
        <w:jc w:val="center"/>
        <w:outlineLvl w:val="0"/>
        <w:rPr>
          <w:rFonts w:ascii="微软雅黑" w:hAnsi="微软雅黑" w:eastAsia="微软雅黑" w:cs="微软雅黑"/>
          <w:b/>
          <w:bCs/>
          <w:sz w:val="32"/>
          <w:szCs w:val="32"/>
        </w:rPr>
      </w:pPr>
    </w:p>
    <w:bookmarkEnd w:id="6"/>
    <w:bookmarkEnd w:id="7"/>
    <w:p>
      <w:pPr>
        <w:jc w:val="center"/>
        <w:outlineLvl w:val="0"/>
        <w:rPr>
          <w:rFonts w:hint="eastAsia" w:ascii="微软雅黑" w:hAnsi="微软雅黑" w:eastAsia="微软雅黑" w:cs="微软雅黑"/>
          <w:b/>
          <w:bCs/>
          <w:sz w:val="32"/>
          <w:szCs w:val="32"/>
          <w:lang w:val="en-US" w:eastAsia="zh-CN"/>
        </w:rPr>
      </w:pPr>
      <w:bookmarkStart w:id="8" w:name="_Toc25850_WPSOffice_Level1"/>
      <w:bookmarkStart w:id="9" w:name="_Toc7553_WPSOffice_Level1"/>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DMA556S digital two-phase stepper driver</w:t>
      </w:r>
      <w:bookmarkEnd w:id="8"/>
      <w:bookmarkEnd w:id="9"/>
    </w:p>
    <w:p>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DMA556S is a two-phase digital stepper driver launched by Gerui IoT Technology Co., Ltd. It adopts a servo-like control principle, integrates vector control technology, built-in micro-segmentation technology, and adaptive filtering technology, greatly optimizing the performance of the stepper motor. It runs smoothly at low, medium and high speeds with low noise. The precise and smooth pure sinusoidal current vector control technology effectively reduces the heating of the motor. It has a very high cost-effectiveness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DMA556S driver supports AC and DC power supply, and its driving voltage range is AC18~36V/DC20~50V. It is suitable for two-phase hybrid stepper motors with a peak current below 5.6A and an outer diameter of 42~86mm.</w:t>
      </w:r>
    </w:p>
    <w:p>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 xml:space="preserve">●New 32-bit DSP technology●Easy to install</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Optically isolated differential signal input</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●Built-in micro-segmentation ●Pulse response frequency up to 200KHz (higher frequency can be adjusted)</w:t>
      </w:r>
    </w:p>
    <w:p>
      <w:pPr>
        <w:spacing w:line="360" w:lineRule="auto"/>
        <w:ind w:left="105" w:leftChars="5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●Precise current control greatly reduces motor heating ●Low vibration and low noise</w:t>
      </w:r>
    </w:p>
    <w:p>
      <w:pPr>
        <w:spacing w:line="360" w:lineRule="auto"/>
        <w:ind w:left="105" w:leftChars="5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current automatically halves when stationary ●With overvoltage, undervoltage, overcurrent, phase loss and other protection functions</w:t>
      </w:r>
    </w:p>
    <w:p>
      <w:pPr>
        <w:spacing w:line="360" w:lineRule="auto"/>
        <w:ind w:left="105" w:leftChars="5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 Both AC and DC power supply                       </w:t>
      </w:r>
    </w:p>
    <w:p>
      <w:pPr>
        <w:numPr>
          <w:ilvl w:val="0"/>
          <w:numId w:val="2"/>
        </w:numPr>
        <w:ind w:left="105" w:leftChars="50"/>
        <w:jc w:val="left"/>
        <w:outlineLvl w:val="1"/>
        <w:rPr>
          <w:rFonts w:hint="eastAsia" w:ascii="微软雅黑" w:hAnsi="微软雅黑" w:eastAsia="微软雅黑" w:cs="微软雅黑"/>
          <w:b/>
          <w:bCs/>
          <w:sz w:val="24"/>
        </w:rPr>
      </w:pPr>
      <w:bookmarkStart w:id="13" w:name="_Toc28424_WPSOffice_Level2"/>
      <w:r>
        <w:rPr>
          <w:rFonts w:hint="eastAsia" w:ascii="微软雅黑" w:hAnsi="微软雅黑" w:eastAsia="微软雅黑" w:cs="微软雅黑"/>
          <w:b/>
          <w:bCs/>
          <w:sz w:val="24"/>
        </w:rPr>
        <w:t>Application Areas</w:t>
      </w:r>
      <w:bookmarkEnd w:id="1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DMA556S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Input power voltage (DC)</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99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36</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 (AC)</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18</w:t>
            </w:r>
          </w:p>
        </w:tc>
        <w:tc>
          <w:tcPr>
            <w:tcW w:w="99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30</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36</w:t>
            </w:r>
          </w:p>
        </w:tc>
        <w:tc>
          <w:tcPr>
            <w:tcW w:w="900"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0"/>
        </w:numPr>
        <w:jc w:val="left"/>
        <w:outlineLvl w:val="1"/>
        <w:rPr>
          <w:rFonts w:ascii="微软雅黑" w:hAnsi="微软雅黑" w:eastAsia="微软雅黑" w:cs="微软雅黑"/>
          <w:b/>
          <w:bCs/>
          <w:sz w:val="24"/>
        </w:rPr>
      </w:pPr>
      <w:bookmarkStart w:id="16" w:name="_Toc9268_WPSOffice_Level2"/>
    </w:p>
    <w:p>
      <w:pPr>
        <w:numPr>
          <w:ilvl w:val="0"/>
          <w:numId w:val="0"/>
        </w:numPr>
        <w:jc w:val="left"/>
        <w:outlineLvl w:val="1"/>
        <w:rPr>
          <w:rFonts w:ascii="微软雅黑" w:hAnsi="微软雅黑" w:eastAsia="微软雅黑" w:cs="微软雅黑"/>
          <w:b/>
          <w:bCs/>
          <w:sz w:val="24"/>
        </w:rPr>
      </w:pPr>
    </w:p>
    <w:p>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3"/>
        </w:numPr>
        <w:jc w:val="left"/>
        <w:outlineLvl w:val="1"/>
        <w:rPr>
          <w:rFonts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pPr>
        <w:jc w:val="both"/>
        <w:rPr>
          <w:rFonts w:hint="default" w:eastAsiaTheme="minorEastAsia"/>
          <w:b/>
          <w:bCs/>
          <w:sz w:val="28"/>
          <w:szCs w:val="28"/>
          <w:lang w:val="en-US" w:eastAsia="zh-CN"/>
        </w:rPr>
      </w:pPr>
      <w:r>
        <w:rPr>
          <w:rFonts w:hint="eastAsia" w:eastAsiaTheme="minorEastAsia"/>
          <w:b/>
          <w:bCs/>
          <w:sz w:val="28"/>
          <w:szCs w:val="28"/>
          <w:lang w:eastAsia="zh-CN"/>
        </w:rPr>
        <w:drawing>
          <wp:inline distT="0" distB="0" distL="114300" distR="114300">
            <wp:extent cx="2744470" cy="5010150"/>
            <wp:effectExtent l="0" t="0" r="17780" b="0"/>
            <wp:docPr id="1" name="图片 1" descr="DS860 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860 正面安装图"/>
                    <pic:cNvPicPr>
                      <a:picLocks noChangeAspect="1"/>
                    </pic:cNvPicPr>
                  </pic:nvPicPr>
                  <pic:blipFill>
                    <a:blip r:embed="rId6"/>
                    <a:srcRect b="1462"/>
                    <a:stretch>
                      <a:fillRect/>
                    </a:stretch>
                  </pic:blipFill>
                  <pic:spPr>
                    <a:xfrm>
                      <a:off x="0" y="0"/>
                      <a:ext cx="2744470" cy="5010150"/>
                    </a:xfrm>
                    <a:prstGeom prst="rect">
                      <a:avLst/>
                    </a:prstGeom>
                  </pic:spPr>
                </pic:pic>
              </a:graphicData>
            </a:graphic>
          </wp:inline>
        </w:drawing>
      </w:r>
      <w:r>
        <w:rPr>
          <w:rFonts w:hint="eastAsia"/>
          <w:b/>
          <w:bCs/>
          <w:sz w:val="28"/>
          <w:szCs w:val="28"/>
          <w:lang w:val="en-US" w:eastAsia="zh-CN"/>
        </w:rPr>
        <w:t xml:space="preserve">                 </w:t>
      </w:r>
      <w:r>
        <w:rPr>
          <w:rFonts w:hint="default" w:eastAsiaTheme="minorEastAsia"/>
          <w:b/>
          <w:bCs/>
          <w:sz w:val="28"/>
          <w:szCs w:val="28"/>
          <w:lang w:val="en-US" w:eastAsia="zh-CN"/>
        </w:rPr>
        <w:drawing>
          <wp:inline distT="0" distB="0" distL="114300" distR="114300">
            <wp:extent cx="1577340" cy="4622800"/>
            <wp:effectExtent l="0" t="0" r="3810" b="6350"/>
            <wp:docPr id="2" name="图片 2" descr="DS860 侧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860 侧面安装图"/>
                    <pic:cNvPicPr>
                      <a:picLocks noChangeAspect="1"/>
                    </pic:cNvPicPr>
                  </pic:nvPicPr>
                  <pic:blipFill>
                    <a:blip r:embed="rId7"/>
                    <a:srcRect t="2480"/>
                    <a:stretch>
                      <a:fillRect/>
                    </a:stretch>
                  </pic:blipFill>
                  <pic:spPr>
                    <a:xfrm>
                      <a:off x="0" y="0"/>
                      <a:ext cx="1577340" cy="4622800"/>
                    </a:xfrm>
                    <a:prstGeom prst="rect">
                      <a:avLst/>
                    </a:prstGeom>
                  </pic:spPr>
                </pic:pic>
              </a:graphicData>
            </a:graphic>
          </wp:inline>
        </w:drawing>
      </w:r>
    </w:p>
    <w:p>
      <w:pPr>
        <w:ind w:firstLine="420" w:firstLineChars="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3"/>
        </w:numPr>
        <w:jc w:val="left"/>
        <w:outlineLvl w:val="1"/>
        <w:rPr>
          <w:rFonts w:ascii="微软雅黑" w:hAnsi="微软雅黑" w:eastAsia="微软雅黑" w:cs="微软雅黑"/>
          <w:b/>
          <w:bCs/>
          <w:sz w:val="24"/>
        </w:rPr>
      </w:pPr>
      <w:bookmarkStart w:id="18" w:name="_Toc15897_WPSOffice_Level2"/>
      <w:r>
        <w:rPr>
          <w:rFonts w:hint="eastAsia" w:ascii="微软雅黑" w:hAnsi="微软雅黑" w:eastAsia="微软雅黑" w:cs="微软雅黑"/>
          <w:b/>
          <w:bCs/>
          <w:sz w:val="24"/>
        </w:rPr>
        <w:t>Enhanced heat dissipation</w:t>
      </w:r>
      <w:bookmarkEnd w:id="18"/>
    </w:p>
    <w:p>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AC2</w:t>
            </w:r>
          </w:p>
        </w:tc>
        <w:tc>
          <w:tcPr>
            <w:tcW w:w="7651"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Universal AC and DC, regardless of positive or negative, range AC18~36V/DC20~50V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AC1</w:t>
            </w:r>
          </w:p>
        </w:tc>
        <w:tc>
          <w:tcPr>
            <w:tcW w:w="7651" w:type="dxa"/>
            <w:vMerge w:val="continue"/>
            <w:vAlign w:val="top"/>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1</w:t>
            </w:r>
          </w:p>
        </w:tc>
        <w:tc>
          <w:tcPr>
            <w:tcW w:w="1017"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1</w:t>
            </w:r>
          </w:p>
        </w:tc>
        <w:tc>
          <w:tcPr>
            <w:tcW w:w="3483"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eastAsia="zh-CN"/>
              </w:rPr>
              <w:drawing>
                <wp:inline distT="0" distB="0" distL="114300" distR="114300">
                  <wp:extent cx="2072005" cy="300355"/>
                  <wp:effectExtent l="0" t="0" r="4445" b="4445"/>
                  <wp:docPr id="5" name="图片 5" descr="b4b7420fd81022979949bd221bdc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4b7420fd81022979949bd221bdc593"/>
                          <pic:cNvPicPr>
                            <a:picLocks noChangeAspect="1"/>
                          </pic:cNvPicPr>
                        </pic:nvPicPr>
                        <pic:blipFill>
                          <a:blip r:embed="rId8"/>
                          <a:stretch>
                            <a:fillRect/>
                          </a:stretch>
                        </pic:blipFill>
                        <pic:spPr>
                          <a:xfrm>
                            <a:off x="0" y="0"/>
                            <a:ext cx="2072005" cy="30035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Overcurrent, phase short circuit or poor contact 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9"/>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&gt;DC80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3</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10"/>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4</w:t>
            </w:r>
          </w:p>
        </w:tc>
        <w:tc>
          <w:tcPr>
            <w:tcW w:w="1017"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1"/>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p>
    <w:bookmarkEnd w:id="22"/>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3054350" cy="2395855"/>
            <wp:effectExtent l="0" t="0" r="12700" b="4445"/>
            <wp:docPr id="8" name="图片 8" descr="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共阳极接法示意图"/>
                    <pic:cNvPicPr>
                      <a:picLocks noChangeAspect="1"/>
                    </pic:cNvPicPr>
                  </pic:nvPicPr>
                  <pic:blipFill>
                    <a:blip r:embed="rId12"/>
                    <a:stretch>
                      <a:fillRect/>
                    </a:stretch>
                  </pic:blipFill>
                  <pic:spPr>
                    <a:xfrm>
                      <a:off x="0" y="0"/>
                      <a:ext cx="3054350" cy="2395855"/>
                    </a:xfrm>
                    <a:prstGeom prst="rect">
                      <a:avLst/>
                    </a:prstGeom>
                  </pic:spPr>
                </pic:pic>
              </a:graphicData>
            </a:graphic>
          </wp:inline>
        </w:drawing>
      </w:r>
      <w:r>
        <w:rPr>
          <w:rFonts w:hint="eastAsia" w:ascii="微软雅黑" w:hAnsi="微软雅黑" w:eastAsia="微软雅黑" w:cs="微软雅黑"/>
          <w:szCs w:val="21"/>
          <w:lang w:eastAsia="zh-CN"/>
        </w:rPr>
        <w:drawing>
          <wp:inline distT="0" distB="0" distL="114300" distR="114300">
            <wp:extent cx="3016250" cy="2408555"/>
            <wp:effectExtent l="0" t="0" r="12700" b="10795"/>
            <wp:docPr id="7" name="图片 7" descr="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共阴极接法示意图"/>
                    <pic:cNvPicPr>
                      <a:picLocks noChangeAspect="1"/>
                    </pic:cNvPicPr>
                  </pic:nvPicPr>
                  <pic:blipFill>
                    <a:blip r:embed="rId13"/>
                    <a:stretch>
                      <a:fillRect/>
                    </a:stretch>
                  </pic:blipFill>
                  <pic:spPr>
                    <a:xfrm>
                      <a:off x="0" y="0"/>
                      <a:ext cx="3016250" cy="24085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DMA556S driver control signal end adopts a differential interface circuit, which can be used for differential signals, single-ended common cathode and common anode interfaces, and has a built-in high-speed optocoupler, which has strong anti-interference ability in harsh environments. The interface circuit diagram is shown in Figure 2.</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DMA556S is a 5V-24V universal driver, so the signal control end does not need a series resistor!</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PLS, DIR and ENA should meet certain requirements, as shown in the following figure:</w:t>
      </w:r>
    </w:p>
    <w:p>
      <w:pPr>
        <w:spacing w:line="360" w:lineRule="auto"/>
        <w:ind w:left="105" w:leftChars="50"/>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4753610" cy="1544955"/>
            <wp:effectExtent l="0" t="0" r="8890" b="17145"/>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4"/>
                    <a:stretch>
                      <a:fillRect/>
                    </a:stretch>
                  </pic:blipFill>
                  <pic:spPr>
                    <a:xfrm>
                      <a:off x="0" y="0"/>
                      <a:ext cx="4753610" cy="15449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in advance of the falling edge of PLS.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30698_WPSOffice_Level2"/>
      <w:r>
        <w:rPr>
          <w:rFonts w:hint="eastAsia" w:ascii="微软雅黑" w:hAnsi="微软雅黑" w:eastAsia="微软雅黑" w:cs="微软雅黑"/>
          <w:b/>
          <w:bCs/>
          <w:sz w:val="24"/>
        </w:rPr>
        <w:t>Wiring requirements</w:t>
      </w:r>
      <w:bookmarkEnd w:id="24"/>
    </w:p>
    <w:p>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5"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9"/>
        </w:numPr>
        <w:spacing w:line="360" w:lineRule="auto"/>
        <w:jc w:val="left"/>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rPr>
        <w:t>DIP switch function setting</w:t>
      </w:r>
      <w:bookmarkEnd w:id="25"/>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DMA556S driver uses an 8-bit dip switch, SW1-SW3 is used to set the current; SW4 selects full current or half current lock; SW5-SW8 is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Semi-stream</w:t>
            </w:r>
          </w:p>
        </w:tc>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Current setting</w:t>
      </w:r>
    </w:p>
    <w:tbl>
      <w:tblPr>
        <w:tblStyle w:val="7"/>
        <w:tblW w:w="7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807"/>
        <w:gridCol w:w="1215"/>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b/>
                <w:bCs/>
                <w:sz w:val="18"/>
                <w:szCs w:val="18"/>
                <w:lang w:val="en-US" w:eastAsia="zh-CN"/>
              </w:rPr>
            </w:pPr>
            <w:bookmarkStart w:id="26" w:name="_Toc3544_WPSOffice_Level2"/>
            <w:r>
              <w:rPr>
                <w:rFonts w:hint="eastAsia" w:ascii="微软雅黑" w:hAnsi="微软雅黑" w:eastAsia="微软雅黑" w:cs="微软雅黑"/>
                <w:b/>
                <w:bCs/>
                <w:sz w:val="18"/>
                <w:szCs w:val="18"/>
              </w:rPr>
              <w:t>Output peak current(A)</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Output effective current (A)</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1.4</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2.1</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2.7</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1.9</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2.3</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3.8</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2.7</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4.3</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3.1</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4.9</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3.5</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5.6</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4.0</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Quiescent current setting</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static current can be set with the SW4 DIP switch. Off means the static current is set to half of the dynamic current, and on means the static current is the same as the dynamic current. In general use, SW4 should be set to off to reduce the heat of the motor and driver and improve reliability. After the pulse input stops, the current is automatically reduced to half.</w:t>
      </w:r>
    </w:p>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Segment settings</w:t>
      </w:r>
      <w:bookmarkEnd w:id="26"/>
    </w:p>
    <w:tbl>
      <w:tblPr>
        <w:tblStyle w:val="7"/>
        <w:tblW w:w="7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08"/>
        <w:gridCol w:w="1508"/>
        <w:gridCol w:w="1508"/>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25600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微软雅黑" w:hAnsi="微软雅黑" w:eastAsia="微软雅黑" w:cs="微软雅黑"/>
          <w:b w:val="0"/>
          <w:bCs w:val="0"/>
          <w:sz w:val="18"/>
          <w:szCs w:val="18"/>
          <w:lang w:eastAsia="zh-CN"/>
        </w:rPr>
      </w:pPr>
    </w:p>
    <w:p>
      <w:pPr>
        <w:numPr>
          <w:ilvl w:val="0"/>
          <w:numId w:val="9"/>
        </w:numPr>
        <w:spacing w:line="360" w:lineRule="auto"/>
        <w:jc w:val="left"/>
        <w:outlineLvl w:val="0"/>
        <w:rPr>
          <w:rFonts w:ascii="微软雅黑" w:hAnsi="微软雅黑" w:eastAsia="微软雅黑" w:cs="微软雅黑"/>
          <w:b/>
          <w:bCs/>
          <w:sz w:val="28"/>
          <w:szCs w:val="28"/>
        </w:rPr>
      </w:pPr>
      <w:bookmarkStart w:id="27" w:name="_Toc25986_WPSOffice_Level1"/>
      <w:r>
        <w:rPr>
          <w:rFonts w:hint="eastAsia" w:ascii="微软雅黑" w:hAnsi="微软雅黑" w:eastAsia="微软雅黑" w:cs="微软雅黑"/>
          <w:b/>
          <w:bCs/>
          <w:sz w:val="28"/>
          <w:szCs w:val="28"/>
        </w:rPr>
        <w:t>Power supply selection</w:t>
      </w:r>
      <w:bookmarkEnd w:id="27"/>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DMA556S driver can be powered by a transformer. It is recommended that the AC output voltage of the transformer does not exceed its specified maximum voltage. The DMA556S driver can also be powered by an unregulated DC power supply, but it should be noted that the peak value of the rectified voltage ripple should not exceed its specified maximum voltage. It is recommended that users use a DC voltage lower than the maximum voltage to avoid power grid fluctuations exceeding the driver's operating voltage range.</w:t>
      </w:r>
      <w:bookmarkStart w:id="31" w:name="_GoBack"/>
      <w:bookmarkEnd w:id="31"/>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a voltage-regulated switching power supply is used, it should be noted that the output current range of the switching power supply must be set to the maximum.</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an unregulated power supply;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power supply, the power supply current output capacity should be greater than 60% of the driver set current;</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voltage-regulated switching power supply, the output current of the power supply should be greater than or equal to the operating current of the driver;</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widowControl w:val="0"/>
        <w:numPr>
          <w:ilvl w:val="0"/>
          <w:numId w:val="0"/>
        </w:numPr>
        <w:spacing w:line="360" w:lineRule="auto"/>
        <w:jc w:val="left"/>
        <w:rPr>
          <w:rFonts w:hint="eastAsia" w:ascii="微软雅黑" w:hAnsi="微软雅黑" w:eastAsia="微软雅黑" w:cs="微软雅黑"/>
          <w:sz w:val="18"/>
          <w:szCs w:val="18"/>
        </w:rPr>
      </w:pPr>
    </w:p>
    <w:p>
      <w:pPr>
        <w:numPr>
          <w:ilvl w:val="0"/>
          <w:numId w:val="9"/>
        </w:numPr>
        <w:spacing w:line="360" w:lineRule="auto"/>
        <w:jc w:val="left"/>
        <w:outlineLvl w:val="0"/>
        <w:rPr>
          <w:rFonts w:ascii="微软雅黑" w:hAnsi="微软雅黑" w:eastAsia="微软雅黑" w:cs="微软雅黑"/>
          <w:b/>
          <w:bCs/>
          <w:sz w:val="28"/>
          <w:szCs w:val="28"/>
        </w:rPr>
      </w:pPr>
      <w:bookmarkStart w:id="28" w:name="_Toc28989_WPSOffice_Level1"/>
      <w:r>
        <w:rPr>
          <w:rFonts w:hint="eastAsia" w:ascii="微软雅黑" w:hAnsi="微软雅黑" w:eastAsia="微软雅黑" w:cs="微软雅黑"/>
          <w:b/>
          <w:bCs/>
          <w:sz w:val="28"/>
          <w:szCs w:val="28"/>
        </w:rPr>
        <w:t>Protection function</w:t>
      </w:r>
      <w:bookmarkEnd w:id="28"/>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jc w:val="left"/>
        <w:textAlignment w:val="auto"/>
        <w:outlineLvl w:val="1"/>
        <w:rPr>
          <w:rFonts w:ascii="微软雅黑" w:hAnsi="微软雅黑" w:eastAsia="微软雅黑" w:cs="微软雅黑"/>
          <w:b/>
          <w:bCs/>
          <w:sz w:val="24"/>
        </w:rPr>
      </w:pPr>
      <w:bookmarkStart w:id="29" w:name="_Toc20685_WPSOffice_Level2"/>
      <w:bookmarkStart w:id="30" w:name="_Toc15522_WPSOffice_Level2"/>
      <w:r>
        <w:rPr>
          <w:rFonts w:hint="eastAsia" w:ascii="微软雅黑" w:hAnsi="微软雅黑" w:eastAsia="微软雅黑" w:cs="微软雅黑"/>
          <w:b/>
          <w:bCs/>
          <w:sz w:val="24"/>
        </w:rPr>
        <w:t>Short circuit protection</w:t>
      </w:r>
      <w:bookmarkEnd w:id="29"/>
    </w:p>
    <w:p>
      <w:pPr>
        <w:spacing w:line="360" w:lineRule="auto"/>
        <w:ind w:firstLine="360" w:firstLineChars="200"/>
        <w:jc w:val="left"/>
        <w:rPr>
          <w:rFonts w:hint="eastAsia" w:ascii="微软雅黑" w:hAnsi="微软雅黑" w:eastAsia="微软雅黑" w:cs="微软雅黑"/>
          <w:b/>
          <w:bCs/>
          <w:i w:val="0"/>
          <w:iCs w:val="0"/>
          <w:sz w:val="24"/>
          <w:szCs w:val="24"/>
        </w:rPr>
      </w:pPr>
      <w:r>
        <w:rPr>
          <w:rFonts w:hint="eastAsia" w:ascii="微软雅黑" w:hAnsi="微软雅黑" w:eastAsia="微软雅黑" w:cs="微软雅黑"/>
          <w:sz w:val="18"/>
          <w:szCs w:val="18"/>
        </w:rPr>
        <w:t>When a phase-to-phase short circuit or overcurrent occurs inside the driver, the driver red light flashes once and flashes repeatedly in a cycle of 3 seconds. At this time, the fault must be eliminated and the power must be turned on again for a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rPr>
        <w:t>Overvoltage protection</w:t>
      </w:r>
      <w:bookmarkEnd w:id="30"/>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DC50V or AC36V, the red light of the driver flashes twice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or AC18V, the driver red light flashes 3 times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DMA556S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A3B11D65"/>
    <w:multiLevelType w:val="singleLevel"/>
    <w:tmpl w:val="A3B11D65"/>
    <w:lvl w:ilvl="0" w:tentative="0">
      <w:start w:val="2"/>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C39F82F"/>
    <w:multiLevelType w:val="singleLevel"/>
    <w:tmpl w:val="0C39F82F"/>
    <w:lvl w:ilvl="0" w:tentative="0">
      <w:start w:val="1"/>
      <w:numFmt w:val="decimal"/>
      <w:lvlText w:val="%1."/>
      <w:lvlJc w:val="left"/>
      <w:pPr>
        <w:tabs>
          <w:tab w:val="left" w:pos="312"/>
        </w:tabs>
      </w:pPr>
    </w:lvl>
  </w:abstractNum>
  <w:abstractNum w:abstractNumId="9">
    <w:nsid w:val="1DF1D425"/>
    <w:multiLevelType w:val="singleLevel"/>
    <w:tmpl w:val="1DF1D425"/>
    <w:lvl w:ilvl="0" w:tentative="0">
      <w:start w:val="1"/>
      <w:numFmt w:val="decimal"/>
      <w:suff w:val="nothing"/>
      <w:lvlText w:val="%1）"/>
      <w:lvlJc w:val="left"/>
    </w:lvl>
  </w:abstractNum>
  <w:abstractNum w:abstractNumId="10">
    <w:nsid w:val="2EBC12BB"/>
    <w:multiLevelType w:val="singleLevel"/>
    <w:tmpl w:val="2EBC12BB"/>
    <w:lvl w:ilvl="0" w:tentative="0">
      <w:start w:val="1"/>
      <w:numFmt w:val="decimal"/>
      <w:lvlText w:val="%1."/>
      <w:lvlJc w:val="left"/>
      <w:pPr>
        <w:tabs>
          <w:tab w:val="left" w:pos="312"/>
        </w:tabs>
      </w:pPr>
    </w:lvl>
  </w:abstractNum>
  <w:abstractNum w:abstractNumId="11">
    <w:nsid w:val="49BF6955"/>
    <w:multiLevelType w:val="singleLevel"/>
    <w:tmpl w:val="49BF6955"/>
    <w:lvl w:ilvl="0" w:tentative="0">
      <w:start w:val="1"/>
      <w:numFmt w:val="decimal"/>
      <w:suff w:val="nothing"/>
      <w:lvlText w:val="%1）"/>
      <w:lvlJc w:val="left"/>
    </w:lvl>
  </w:abstractNum>
  <w:abstractNum w:abstractNumId="12">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10"/>
  </w:num>
  <w:num w:numId="3">
    <w:abstractNumId w:val="2"/>
  </w:num>
  <w:num w:numId="4">
    <w:abstractNumId w:val="0"/>
  </w:num>
  <w:num w:numId="5">
    <w:abstractNumId w:val="8"/>
  </w:num>
  <w:num w:numId="6">
    <w:abstractNumId w:val="12"/>
  </w:num>
  <w:num w:numId="7">
    <w:abstractNumId w:val="11"/>
  </w:num>
  <w:num w:numId="8">
    <w:abstractNumId w:val="9"/>
  </w:num>
  <w:num w:numId="9">
    <w:abstractNumId w:val="7"/>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2ODlmYjQ3MTY1MWM4MGI5Y2QxMTBkMjkzMWQyYjUifQ=="/>
  </w:docVars>
  <w:rsids>
    <w:rsidRoot w:val="1FEA7CD7"/>
    <w:rsid w:val="00256DC5"/>
    <w:rsid w:val="00282BD8"/>
    <w:rsid w:val="005117AD"/>
    <w:rsid w:val="005659D2"/>
    <w:rsid w:val="00AA1894"/>
    <w:rsid w:val="00CA1C1D"/>
    <w:rsid w:val="01166072"/>
    <w:rsid w:val="016075F7"/>
    <w:rsid w:val="02164017"/>
    <w:rsid w:val="024E444B"/>
    <w:rsid w:val="03295D54"/>
    <w:rsid w:val="03777556"/>
    <w:rsid w:val="03B3128C"/>
    <w:rsid w:val="040D4F60"/>
    <w:rsid w:val="048A33E1"/>
    <w:rsid w:val="05027B01"/>
    <w:rsid w:val="06FC2926"/>
    <w:rsid w:val="0749172E"/>
    <w:rsid w:val="07E05125"/>
    <w:rsid w:val="08224B57"/>
    <w:rsid w:val="084176A2"/>
    <w:rsid w:val="090A360A"/>
    <w:rsid w:val="094C2972"/>
    <w:rsid w:val="0A09616F"/>
    <w:rsid w:val="0AF03078"/>
    <w:rsid w:val="0B395E29"/>
    <w:rsid w:val="0B8966B9"/>
    <w:rsid w:val="0BC772B9"/>
    <w:rsid w:val="0C4176E6"/>
    <w:rsid w:val="0C9A19B5"/>
    <w:rsid w:val="0D657C70"/>
    <w:rsid w:val="0DE756C2"/>
    <w:rsid w:val="0E027068"/>
    <w:rsid w:val="0E1B70DF"/>
    <w:rsid w:val="0E6938B0"/>
    <w:rsid w:val="0FC7273D"/>
    <w:rsid w:val="0FD7644E"/>
    <w:rsid w:val="0FE92A55"/>
    <w:rsid w:val="10E24495"/>
    <w:rsid w:val="1201768F"/>
    <w:rsid w:val="1262767B"/>
    <w:rsid w:val="12AA5200"/>
    <w:rsid w:val="12E723E3"/>
    <w:rsid w:val="12EC1659"/>
    <w:rsid w:val="136876CA"/>
    <w:rsid w:val="14601D26"/>
    <w:rsid w:val="15203753"/>
    <w:rsid w:val="15906837"/>
    <w:rsid w:val="15C93214"/>
    <w:rsid w:val="17AC2932"/>
    <w:rsid w:val="17B711F6"/>
    <w:rsid w:val="17F23324"/>
    <w:rsid w:val="17F64D32"/>
    <w:rsid w:val="18395E6A"/>
    <w:rsid w:val="18B721F4"/>
    <w:rsid w:val="18CE4743"/>
    <w:rsid w:val="19762BE9"/>
    <w:rsid w:val="1A3578AB"/>
    <w:rsid w:val="1ABA34B1"/>
    <w:rsid w:val="1AC577AB"/>
    <w:rsid w:val="1B070BAF"/>
    <w:rsid w:val="1B077B9A"/>
    <w:rsid w:val="1B086C47"/>
    <w:rsid w:val="1B93217F"/>
    <w:rsid w:val="1B954582"/>
    <w:rsid w:val="1C2C4754"/>
    <w:rsid w:val="1C63260E"/>
    <w:rsid w:val="1C6D64AE"/>
    <w:rsid w:val="1CA66953"/>
    <w:rsid w:val="1CB765CD"/>
    <w:rsid w:val="1D0B6946"/>
    <w:rsid w:val="1D545A68"/>
    <w:rsid w:val="1D6D1C06"/>
    <w:rsid w:val="1DBD052D"/>
    <w:rsid w:val="1E237BDA"/>
    <w:rsid w:val="1E58377A"/>
    <w:rsid w:val="1E6A4918"/>
    <w:rsid w:val="1E9E5DD9"/>
    <w:rsid w:val="1F347012"/>
    <w:rsid w:val="1F794A03"/>
    <w:rsid w:val="1FEA7CD7"/>
    <w:rsid w:val="205765BD"/>
    <w:rsid w:val="205D0C1A"/>
    <w:rsid w:val="20EF1098"/>
    <w:rsid w:val="21210377"/>
    <w:rsid w:val="215E2969"/>
    <w:rsid w:val="21860403"/>
    <w:rsid w:val="218D6EE4"/>
    <w:rsid w:val="21A70966"/>
    <w:rsid w:val="22605BD5"/>
    <w:rsid w:val="226927C7"/>
    <w:rsid w:val="23352742"/>
    <w:rsid w:val="2369509F"/>
    <w:rsid w:val="23746B52"/>
    <w:rsid w:val="23D92C3D"/>
    <w:rsid w:val="24F074F3"/>
    <w:rsid w:val="26265A6B"/>
    <w:rsid w:val="265540D0"/>
    <w:rsid w:val="269B69A9"/>
    <w:rsid w:val="26E5451C"/>
    <w:rsid w:val="281A542B"/>
    <w:rsid w:val="282A7DE1"/>
    <w:rsid w:val="28583EE1"/>
    <w:rsid w:val="29106383"/>
    <w:rsid w:val="29196625"/>
    <w:rsid w:val="29682341"/>
    <w:rsid w:val="29C95921"/>
    <w:rsid w:val="2A070884"/>
    <w:rsid w:val="2B290E8F"/>
    <w:rsid w:val="2B49288B"/>
    <w:rsid w:val="2C1061D3"/>
    <w:rsid w:val="2C455599"/>
    <w:rsid w:val="2D9F267E"/>
    <w:rsid w:val="2DA137B3"/>
    <w:rsid w:val="2DC16337"/>
    <w:rsid w:val="2DF62F96"/>
    <w:rsid w:val="2E4C159B"/>
    <w:rsid w:val="2EDC2251"/>
    <w:rsid w:val="2F286AB1"/>
    <w:rsid w:val="30374B06"/>
    <w:rsid w:val="30A5467E"/>
    <w:rsid w:val="30FA6EDF"/>
    <w:rsid w:val="31037D6F"/>
    <w:rsid w:val="31EB0313"/>
    <w:rsid w:val="329F3DBD"/>
    <w:rsid w:val="32EA287E"/>
    <w:rsid w:val="3366351A"/>
    <w:rsid w:val="338B375B"/>
    <w:rsid w:val="33963801"/>
    <w:rsid w:val="34002070"/>
    <w:rsid w:val="340841AB"/>
    <w:rsid w:val="348D2076"/>
    <w:rsid w:val="34E16BF1"/>
    <w:rsid w:val="35804C39"/>
    <w:rsid w:val="36DF4823"/>
    <w:rsid w:val="36E23AD9"/>
    <w:rsid w:val="37FF61C0"/>
    <w:rsid w:val="380D3DE9"/>
    <w:rsid w:val="38BE0658"/>
    <w:rsid w:val="39A05C84"/>
    <w:rsid w:val="3A7E722A"/>
    <w:rsid w:val="3ACA0A79"/>
    <w:rsid w:val="3B6D2FA6"/>
    <w:rsid w:val="3CC61561"/>
    <w:rsid w:val="3CF20A41"/>
    <w:rsid w:val="3D1B2B4F"/>
    <w:rsid w:val="3D254B32"/>
    <w:rsid w:val="3D814925"/>
    <w:rsid w:val="3E2D0A5F"/>
    <w:rsid w:val="3E48642C"/>
    <w:rsid w:val="3F782E63"/>
    <w:rsid w:val="3F7D6C1D"/>
    <w:rsid w:val="3F8C3F8D"/>
    <w:rsid w:val="3FED3590"/>
    <w:rsid w:val="40911EE3"/>
    <w:rsid w:val="40E26D93"/>
    <w:rsid w:val="411D19BC"/>
    <w:rsid w:val="42122C99"/>
    <w:rsid w:val="42194590"/>
    <w:rsid w:val="424672CC"/>
    <w:rsid w:val="425B4A3E"/>
    <w:rsid w:val="42D552D9"/>
    <w:rsid w:val="43926F31"/>
    <w:rsid w:val="43F123DA"/>
    <w:rsid w:val="43F2769A"/>
    <w:rsid w:val="44B42992"/>
    <w:rsid w:val="457B4BA0"/>
    <w:rsid w:val="46660CCB"/>
    <w:rsid w:val="46C96AF2"/>
    <w:rsid w:val="46D62EB0"/>
    <w:rsid w:val="46E26EC9"/>
    <w:rsid w:val="48A815E4"/>
    <w:rsid w:val="48E73C02"/>
    <w:rsid w:val="498B7DF6"/>
    <w:rsid w:val="4A830817"/>
    <w:rsid w:val="4B05560A"/>
    <w:rsid w:val="4B86304D"/>
    <w:rsid w:val="4BC9450C"/>
    <w:rsid w:val="4E40285F"/>
    <w:rsid w:val="4E47689E"/>
    <w:rsid w:val="4E6152C5"/>
    <w:rsid w:val="4F443DEB"/>
    <w:rsid w:val="4FFE310E"/>
    <w:rsid w:val="51395B37"/>
    <w:rsid w:val="514B133D"/>
    <w:rsid w:val="51920B86"/>
    <w:rsid w:val="51B6175E"/>
    <w:rsid w:val="51EC7A3A"/>
    <w:rsid w:val="5206023B"/>
    <w:rsid w:val="52347230"/>
    <w:rsid w:val="52607E5E"/>
    <w:rsid w:val="52B05517"/>
    <w:rsid w:val="53A243DD"/>
    <w:rsid w:val="53D5437F"/>
    <w:rsid w:val="53D66A7A"/>
    <w:rsid w:val="543215CD"/>
    <w:rsid w:val="54F61E2B"/>
    <w:rsid w:val="55C302E1"/>
    <w:rsid w:val="55C86740"/>
    <w:rsid w:val="563C5306"/>
    <w:rsid w:val="56C44F7F"/>
    <w:rsid w:val="572A5575"/>
    <w:rsid w:val="574B2B0C"/>
    <w:rsid w:val="578F332D"/>
    <w:rsid w:val="58A569A9"/>
    <w:rsid w:val="592143E7"/>
    <w:rsid w:val="59D033D4"/>
    <w:rsid w:val="5AA65DEB"/>
    <w:rsid w:val="5ABA6A37"/>
    <w:rsid w:val="5B345470"/>
    <w:rsid w:val="5B842F7F"/>
    <w:rsid w:val="5BAC4672"/>
    <w:rsid w:val="5C165CD4"/>
    <w:rsid w:val="5E8D5293"/>
    <w:rsid w:val="5F09549E"/>
    <w:rsid w:val="5F311774"/>
    <w:rsid w:val="5F6E0395"/>
    <w:rsid w:val="604F3769"/>
    <w:rsid w:val="61087544"/>
    <w:rsid w:val="61164EC7"/>
    <w:rsid w:val="612E1398"/>
    <w:rsid w:val="614841B3"/>
    <w:rsid w:val="62127904"/>
    <w:rsid w:val="62BB4BE5"/>
    <w:rsid w:val="637F2C3F"/>
    <w:rsid w:val="63C04060"/>
    <w:rsid w:val="63D45BF8"/>
    <w:rsid w:val="645E6D04"/>
    <w:rsid w:val="64AD6D92"/>
    <w:rsid w:val="64CE0AA2"/>
    <w:rsid w:val="65FB6A9E"/>
    <w:rsid w:val="67787FD4"/>
    <w:rsid w:val="67C8246C"/>
    <w:rsid w:val="67CD511C"/>
    <w:rsid w:val="6871307C"/>
    <w:rsid w:val="687617BD"/>
    <w:rsid w:val="68861124"/>
    <w:rsid w:val="68BC35D6"/>
    <w:rsid w:val="69036D6D"/>
    <w:rsid w:val="69DD2CE5"/>
    <w:rsid w:val="69E203AF"/>
    <w:rsid w:val="69F92C1A"/>
    <w:rsid w:val="6A1E307E"/>
    <w:rsid w:val="6B22446C"/>
    <w:rsid w:val="6BF00AFD"/>
    <w:rsid w:val="6C724482"/>
    <w:rsid w:val="6D460494"/>
    <w:rsid w:val="6DD70E35"/>
    <w:rsid w:val="6E392719"/>
    <w:rsid w:val="6E4C4CEB"/>
    <w:rsid w:val="6EAF5ECE"/>
    <w:rsid w:val="6EB72135"/>
    <w:rsid w:val="6F4552C5"/>
    <w:rsid w:val="6FC26DD3"/>
    <w:rsid w:val="706B5927"/>
    <w:rsid w:val="70E54314"/>
    <w:rsid w:val="71566622"/>
    <w:rsid w:val="71811EF5"/>
    <w:rsid w:val="71BB7EBD"/>
    <w:rsid w:val="72373462"/>
    <w:rsid w:val="73E5721F"/>
    <w:rsid w:val="74DF3DC6"/>
    <w:rsid w:val="752A6BA8"/>
    <w:rsid w:val="755E148F"/>
    <w:rsid w:val="75FD668C"/>
    <w:rsid w:val="772B4F7A"/>
    <w:rsid w:val="78216F7B"/>
    <w:rsid w:val="78A51BC3"/>
    <w:rsid w:val="78A820FE"/>
    <w:rsid w:val="78ED1B53"/>
    <w:rsid w:val="795B008D"/>
    <w:rsid w:val="79803217"/>
    <w:rsid w:val="79EE05E0"/>
    <w:rsid w:val="7A473776"/>
    <w:rsid w:val="7A992CF5"/>
    <w:rsid w:val="7AA41EB8"/>
    <w:rsid w:val="7AEF621C"/>
    <w:rsid w:val="7AF35ED4"/>
    <w:rsid w:val="7B8D4198"/>
    <w:rsid w:val="7B994F70"/>
    <w:rsid w:val="7BB9253D"/>
    <w:rsid w:val="7C101ADA"/>
    <w:rsid w:val="7C721993"/>
    <w:rsid w:val="7C9267BB"/>
    <w:rsid w:val="7CA35BD3"/>
    <w:rsid w:val="7D1F4FB6"/>
    <w:rsid w:val="7DE5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3017</Words>
  <Characters>3600</Characters>
  <Lines>62</Lines>
  <Paragraphs>17</Paragraphs>
  <TotalTime>1</TotalTime>
  <ScaleCrop>false</ScaleCrop>
  <LinksUpToDate>false</LinksUpToDate>
  <CharactersWithSpaces>3882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大海-梦想的远方</cp:lastModifiedBy>
  <dcterms:modified xsi:type="dcterms:W3CDTF">2023-02-17T12:21:07Z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DACCFF6494534D919DF1A290094EBBB9</vt:lpwstr>
  </property>
</Properties>
</file>